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E691" w14:textId="77777777" w:rsidR="004546B8" w:rsidRDefault="00D00F86">
      <w:pPr>
        <w:spacing w:after="42" w:line="259" w:lineRule="auto"/>
        <w:ind w:left="0" w:firstLine="0"/>
      </w:pPr>
      <w:r>
        <w:rPr>
          <w:rFonts w:ascii="Century Gothic" w:eastAsia="Century Gothic" w:hAnsi="Century Gothic" w:cs="Century Gothic"/>
          <w:b/>
          <w:color w:val="9194A1"/>
          <w:sz w:val="40"/>
        </w:rPr>
        <w:t xml:space="preserve">Prudential Regulation Authority </w:t>
      </w:r>
    </w:p>
    <w:p w14:paraId="5651EE70" w14:textId="77777777" w:rsidR="004546B8" w:rsidRDefault="00D00F86">
      <w:pPr>
        <w:spacing w:after="31" w:line="259" w:lineRule="auto"/>
        <w:ind w:left="29" w:firstLine="0"/>
      </w:pPr>
      <w:r>
        <w:rPr>
          <w:rFonts w:ascii="Calibri" w:eastAsia="Calibri" w:hAnsi="Calibri" w:cs="Calibri"/>
          <w:sz w:val="22"/>
        </w:rPr>
        <w:t xml:space="preserve"> </w:t>
      </w:r>
    </w:p>
    <w:p w14:paraId="10F887A5" w14:textId="77777777" w:rsidR="007504ED" w:rsidRPr="00F34606" w:rsidRDefault="007504ED" w:rsidP="00F34606">
      <w:pPr>
        <w:pStyle w:val="Heading1"/>
        <w:keepNext w:val="0"/>
        <w:keepLines w:val="0"/>
        <w:spacing w:before="0" w:after="320" w:line="240" w:lineRule="auto"/>
        <w:ind w:left="0" w:firstLine="0"/>
        <w:rPr>
          <w:rFonts w:ascii="Century Gothic" w:eastAsia="Times New Roman" w:hAnsi="Century Gothic"/>
          <w:b/>
          <w:iCs/>
          <w:color w:val="44546A" w:themeColor="text2"/>
          <w:kern w:val="0"/>
          <w:sz w:val="28"/>
          <w:szCs w:val="28"/>
          <w:lang w:eastAsia="en-US"/>
          <w14:ligatures w14:val="none"/>
        </w:rPr>
      </w:pPr>
      <w:r w:rsidRPr="00F34606">
        <w:rPr>
          <w:rFonts w:ascii="Century Gothic" w:eastAsia="Times New Roman" w:hAnsi="Century Gothic" w:cs="Arial"/>
          <w:b/>
          <w:iCs/>
          <w:color w:val="44546A" w:themeColor="text2"/>
          <w:kern w:val="0"/>
          <w:sz w:val="28"/>
          <w:szCs w:val="28"/>
          <w:lang w:eastAsia="en-US"/>
          <w14:ligatures w14:val="none"/>
        </w:rPr>
        <w:t>Solvency II</w:t>
      </w:r>
    </w:p>
    <w:p w14:paraId="4892B526" w14:textId="795B298E" w:rsidR="00173182" w:rsidRPr="00F34606" w:rsidRDefault="005C55D9" w:rsidP="00F34606">
      <w:pPr>
        <w:pStyle w:val="Heading1"/>
        <w:keepNext w:val="0"/>
        <w:keepLines w:val="0"/>
        <w:spacing w:before="0" w:after="320" w:line="240" w:lineRule="auto"/>
        <w:ind w:left="0" w:firstLine="0"/>
        <w:rPr>
          <w:rFonts w:ascii="Century Gothic" w:eastAsia="Times New Roman" w:hAnsi="Century Gothic"/>
          <w:b/>
          <w:iCs/>
          <w:color w:val="44546A" w:themeColor="text2"/>
          <w:kern w:val="0"/>
          <w:sz w:val="28"/>
          <w:szCs w:val="28"/>
          <w:lang w:eastAsia="en-US"/>
          <w14:ligatures w14:val="none"/>
        </w:rPr>
      </w:pPr>
      <w:r>
        <w:rPr>
          <w:rFonts w:ascii="Century Gothic" w:eastAsia="Times New Roman" w:hAnsi="Century Gothic" w:cs="Arial"/>
          <w:b/>
          <w:iCs/>
          <w:color w:val="44546A" w:themeColor="text2"/>
          <w:kern w:val="0"/>
          <w:sz w:val="28"/>
          <w:szCs w:val="28"/>
          <w:lang w:eastAsia="en-US"/>
          <w14:ligatures w14:val="none"/>
        </w:rPr>
        <w:t>O</w:t>
      </w:r>
      <w:r w:rsidR="00F07477">
        <w:rPr>
          <w:rFonts w:ascii="Century Gothic" w:eastAsia="Times New Roman" w:hAnsi="Century Gothic" w:cs="Arial"/>
          <w:b/>
          <w:iCs/>
          <w:color w:val="44546A" w:themeColor="text2"/>
          <w:kern w:val="0"/>
          <w:sz w:val="28"/>
          <w:szCs w:val="28"/>
          <w:lang w:eastAsia="en-US"/>
          <w14:ligatures w14:val="none"/>
        </w:rPr>
        <w:t>wn funds permissions when not in compliance with the SCR</w:t>
      </w:r>
      <w:r w:rsidR="007504ED" w:rsidRPr="00F34606">
        <w:rPr>
          <w:rFonts w:ascii="Century Gothic" w:eastAsia="Times New Roman" w:hAnsi="Century Gothic" w:cs="Arial"/>
          <w:b/>
          <w:iCs/>
          <w:color w:val="44546A" w:themeColor="text2"/>
          <w:kern w:val="0"/>
          <w:sz w:val="28"/>
          <w:szCs w:val="28"/>
          <w:lang w:eastAsia="en-US"/>
          <w14:ligatures w14:val="none"/>
        </w:rPr>
        <w:t xml:space="preserve"> </w:t>
      </w:r>
    </w:p>
    <w:p w14:paraId="015797BB" w14:textId="77777777" w:rsidR="00B826E9" w:rsidRDefault="00B826E9" w:rsidP="00C95E8D">
      <w:pPr>
        <w:spacing w:line="276" w:lineRule="auto"/>
        <w:ind w:left="0" w:firstLine="0"/>
        <w:rPr>
          <w:sz w:val="24"/>
          <w:szCs w:val="24"/>
        </w:rPr>
      </w:pPr>
    </w:p>
    <w:p w14:paraId="0A8A2C13" w14:textId="52A58005" w:rsidR="00F07477" w:rsidRPr="00F07477" w:rsidRDefault="00F07477" w:rsidP="00F56A55">
      <w:pPr>
        <w:spacing w:line="276" w:lineRule="auto"/>
        <w:ind w:left="0" w:firstLine="0"/>
        <w:rPr>
          <w:sz w:val="24"/>
          <w:szCs w:val="24"/>
        </w:rPr>
      </w:pPr>
      <w:r w:rsidRPr="00F07477">
        <w:rPr>
          <w:sz w:val="24"/>
          <w:szCs w:val="24"/>
        </w:rPr>
        <w:t>In accordance with the Own Funds part of the PRA Rulebook, a firm may apply to the PRA for the following own funds permissions when not in compliance with the SCR</w:t>
      </w:r>
      <w:r w:rsidR="003C1507">
        <w:rPr>
          <w:sz w:val="24"/>
          <w:szCs w:val="24"/>
        </w:rPr>
        <w:t>,</w:t>
      </w:r>
      <w:r w:rsidRPr="00F07477">
        <w:rPr>
          <w:sz w:val="24"/>
          <w:szCs w:val="24"/>
        </w:rPr>
        <w:t xml:space="preserve"> to be granted pursuant to section 138BA of FSMA 2000: </w:t>
      </w:r>
    </w:p>
    <w:p w14:paraId="7E9C2BBC" w14:textId="5818EBBA" w:rsidR="00F07477" w:rsidRPr="00F34606" w:rsidRDefault="00195994" w:rsidP="00F56A55">
      <w:pPr>
        <w:pStyle w:val="ListBullet"/>
        <w:spacing w:line="276" w:lineRule="auto"/>
        <w:rPr>
          <w:sz w:val="24"/>
          <w:szCs w:val="24"/>
        </w:rPr>
      </w:pPr>
      <w:r>
        <w:rPr>
          <w:sz w:val="24"/>
          <w:szCs w:val="24"/>
        </w:rPr>
        <w:t>i</w:t>
      </w:r>
      <w:r w:rsidR="00F07477" w:rsidRPr="00F34606">
        <w:rPr>
          <w:sz w:val="24"/>
          <w:szCs w:val="24"/>
        </w:rPr>
        <w:t>n accordance with Own Funds 3B.14(2), 3E.6(2), and 3G.6(2), a firm may apply to the PRA for prior permission to waive suspension of repayment or redemption</w:t>
      </w:r>
      <w:r w:rsidR="00837853">
        <w:rPr>
          <w:rStyle w:val="FootnoteReference"/>
          <w:sz w:val="24"/>
          <w:szCs w:val="24"/>
        </w:rPr>
        <w:footnoteReference w:id="1"/>
      </w:r>
      <w:r w:rsidR="00F07477" w:rsidRPr="00F34606">
        <w:rPr>
          <w:sz w:val="24"/>
          <w:szCs w:val="24"/>
        </w:rPr>
        <w:t xml:space="preserve"> of an own funds item when not in compliance with the SCR or when the repayment or redemption of the item would lead to non-compliance with the SCR. This permission allows a firm to proceed with repayment or redemption of a </w:t>
      </w:r>
      <w:r w:rsidR="00F07477" w:rsidRPr="00F34606">
        <w:rPr>
          <w:kern w:val="0"/>
          <w:sz w:val="24"/>
          <w:szCs w:val="24"/>
          <w14:ligatures w14:val="none"/>
        </w:rPr>
        <w:t>Tier 1 own funds, Tier 2 own funds or Tier 3 own funds</w:t>
      </w:r>
      <w:r w:rsidR="00F07477" w:rsidRPr="00F34606">
        <w:rPr>
          <w:sz w:val="24"/>
          <w:szCs w:val="24"/>
        </w:rPr>
        <w:t xml:space="preserve"> item (as the case may be) under these circumstances only where certain criteria is met;</w:t>
      </w:r>
    </w:p>
    <w:p w14:paraId="5F7D4829" w14:textId="4C28ADCC" w:rsidR="00F07477" w:rsidRPr="00F07477" w:rsidRDefault="00195994" w:rsidP="00F56A55">
      <w:pPr>
        <w:pStyle w:val="ListBullet"/>
        <w:spacing w:line="276" w:lineRule="auto"/>
        <w:rPr>
          <w:sz w:val="24"/>
          <w:szCs w:val="24"/>
        </w:rPr>
      </w:pPr>
      <w:r>
        <w:rPr>
          <w:sz w:val="24"/>
          <w:szCs w:val="24"/>
        </w:rPr>
        <w:t>i</w:t>
      </w:r>
      <w:r w:rsidR="00F07477" w:rsidRPr="00F07477">
        <w:rPr>
          <w:sz w:val="24"/>
          <w:szCs w:val="24"/>
        </w:rPr>
        <w:t>n accordance with Own Funds 3B.14(3) and 3E.6(3), a firm may apply to the PRA for permission to waive the cancellation or deferral of distributions under the terms of an own funds item where there is non-compliance with the SCR, or where the distribution would result in non-compliance with the SCR.</w:t>
      </w:r>
      <w:r w:rsidR="00F07477" w:rsidRPr="00F07477">
        <w:rPr>
          <w:kern w:val="0"/>
          <w:sz w:val="24"/>
          <w:szCs w:val="24"/>
          <w14:ligatures w14:val="none"/>
        </w:rPr>
        <w:t xml:space="preserve"> </w:t>
      </w:r>
      <w:r w:rsidR="00F07477" w:rsidRPr="00F07477">
        <w:rPr>
          <w:sz w:val="24"/>
          <w:szCs w:val="24"/>
        </w:rPr>
        <w:t xml:space="preserve">This permission allows a firm to provide for distributions to be made under the terms of a </w:t>
      </w:r>
      <w:r w:rsidR="00F07477" w:rsidRPr="00F07477">
        <w:rPr>
          <w:kern w:val="0"/>
          <w:sz w:val="24"/>
          <w:szCs w:val="24"/>
          <w14:ligatures w14:val="none"/>
        </w:rPr>
        <w:t>Tier 1 own funds, Tier 2 own funds or Tier 3 own funds</w:t>
      </w:r>
      <w:r w:rsidR="00F07477" w:rsidRPr="00F07477">
        <w:rPr>
          <w:sz w:val="24"/>
          <w:szCs w:val="24"/>
        </w:rPr>
        <w:t xml:space="preserve"> item (as the case may be) under these circumstances only where certain criteria are met; or</w:t>
      </w:r>
    </w:p>
    <w:p w14:paraId="528450F5" w14:textId="48591A6E" w:rsidR="00F07477" w:rsidRDefault="00195994" w:rsidP="00F56A55">
      <w:pPr>
        <w:pStyle w:val="ListBullet"/>
        <w:spacing w:line="276" w:lineRule="auto"/>
      </w:pPr>
      <w:r>
        <w:rPr>
          <w:sz w:val="24"/>
          <w:szCs w:val="24"/>
        </w:rPr>
        <w:t>i</w:t>
      </w:r>
      <w:r w:rsidR="00F07477" w:rsidRPr="00F07477">
        <w:rPr>
          <w:sz w:val="24"/>
          <w:szCs w:val="24"/>
        </w:rPr>
        <w:t>n accordance with the Own Funds 3B.16, a firm may apply to the PRA for prior permission to waive the triggering of a principal loss absorbency mechanism events that representing</w:t>
      </w:r>
      <w:r w:rsidR="00F07477" w:rsidRPr="000E70F4">
        <w:rPr>
          <w:sz w:val="24"/>
          <w:szCs w:val="24"/>
        </w:rPr>
        <w:t xml:space="preserve"> significant non-compliance with the SCR.</w:t>
      </w:r>
      <w:r w:rsidR="00F07477" w:rsidRPr="000E70F4">
        <w:rPr>
          <w:kern w:val="0"/>
          <w:sz w:val="24"/>
          <w:szCs w:val="24"/>
          <w14:ligatures w14:val="none"/>
        </w:rPr>
        <w:t xml:space="preserve"> </w:t>
      </w:r>
      <w:r w:rsidR="00F07477" w:rsidRPr="000E70F4">
        <w:rPr>
          <w:sz w:val="24"/>
          <w:szCs w:val="24"/>
        </w:rPr>
        <w:t>This permission allows the principal loss absorbency mechanism, for restricted Tier</w:t>
      </w:r>
      <w:r w:rsidR="00456B62">
        <w:rPr>
          <w:sz w:val="24"/>
          <w:szCs w:val="24"/>
        </w:rPr>
        <w:t xml:space="preserve"> </w:t>
      </w:r>
      <w:r w:rsidR="00F07477" w:rsidRPr="000E70F4">
        <w:rPr>
          <w:sz w:val="24"/>
          <w:szCs w:val="24"/>
        </w:rPr>
        <w:t>own funds items, not to be triggered on the occurrence of a trigger event only where certain criteria are met.</w:t>
      </w:r>
    </w:p>
    <w:p w14:paraId="683106DA" w14:textId="7B1C7D70" w:rsidR="003C1507" w:rsidRDefault="00A212A3" w:rsidP="00F56A55">
      <w:pPr>
        <w:spacing w:line="276" w:lineRule="auto"/>
        <w:ind w:left="0" w:firstLine="0"/>
        <w:rPr>
          <w:sz w:val="24"/>
          <w:szCs w:val="24"/>
        </w:rPr>
      </w:pPr>
      <w:r w:rsidRPr="007504ED">
        <w:rPr>
          <w:sz w:val="24"/>
          <w:szCs w:val="24"/>
        </w:rPr>
        <w:t>Firms wishing to apply for a</w:t>
      </w:r>
      <w:r w:rsidR="00915E19" w:rsidRPr="007504ED">
        <w:rPr>
          <w:sz w:val="24"/>
          <w:szCs w:val="24"/>
        </w:rPr>
        <w:t>ny</w:t>
      </w:r>
      <w:r w:rsidRPr="007504ED">
        <w:rPr>
          <w:sz w:val="24"/>
          <w:szCs w:val="24"/>
        </w:rPr>
        <w:t xml:space="preserve"> permission listed </w:t>
      </w:r>
      <w:r w:rsidR="00F07477">
        <w:rPr>
          <w:sz w:val="24"/>
          <w:szCs w:val="24"/>
        </w:rPr>
        <w:t>above</w:t>
      </w:r>
      <w:r w:rsidRPr="007504ED">
        <w:rPr>
          <w:sz w:val="24"/>
          <w:szCs w:val="24"/>
        </w:rPr>
        <w:t xml:space="preserve"> </w:t>
      </w:r>
      <w:r w:rsidR="00F5768A">
        <w:rPr>
          <w:sz w:val="24"/>
          <w:szCs w:val="24"/>
        </w:rPr>
        <w:t>should submit</w:t>
      </w:r>
      <w:r w:rsidR="003C1507">
        <w:rPr>
          <w:sz w:val="24"/>
          <w:szCs w:val="24"/>
        </w:rPr>
        <w:t xml:space="preserve"> </w:t>
      </w:r>
      <w:r w:rsidR="00F5768A" w:rsidRPr="00311BE0">
        <w:rPr>
          <w:sz w:val="24"/>
          <w:szCs w:val="24"/>
        </w:rPr>
        <w:t xml:space="preserve">a </w:t>
      </w:r>
      <w:hyperlink r:id="rId8" w:history="1">
        <w:r w:rsidR="00F5768A" w:rsidRPr="004962B7">
          <w:rPr>
            <w:rFonts w:eastAsia="Times New Roman" w:cs="Times New Roman"/>
            <w:b/>
            <w:color w:val="12273F"/>
            <w:kern w:val="0"/>
            <w:sz w:val="24"/>
            <w:szCs w:val="24"/>
            <w:u w:val="single" w:color="3CD7D8"/>
            <w14:ligatures w14:val="none"/>
          </w:rPr>
          <w:t>section 138BA permission application form</w:t>
        </w:r>
      </w:hyperlink>
      <w:r w:rsidR="003C1507">
        <w:rPr>
          <w:rFonts w:eastAsia="Times New Roman" w:cs="Times New Roman"/>
          <w:b/>
          <w:color w:val="12273F"/>
          <w:kern w:val="0"/>
          <w:sz w:val="24"/>
          <w:szCs w:val="24"/>
          <w:u w:val="single" w:color="3CD7D8"/>
          <w14:ligatures w14:val="none"/>
        </w:rPr>
        <w:t>,</w:t>
      </w:r>
      <w:r w:rsidR="00F5768A" w:rsidRPr="004962B7">
        <w:rPr>
          <w:rFonts w:eastAsia="Times New Roman" w:cs="Times New Roman"/>
          <w:b/>
          <w:color w:val="12273F"/>
          <w:kern w:val="0"/>
          <w:sz w:val="24"/>
          <w:szCs w:val="24"/>
          <w:u w:val="single" w:color="3CD7D8"/>
          <w14:ligatures w14:val="none"/>
        </w:rPr>
        <w:t xml:space="preserve"> </w:t>
      </w:r>
      <w:r w:rsidR="00F5768A" w:rsidRPr="00311BE0">
        <w:rPr>
          <w:sz w:val="24"/>
          <w:szCs w:val="24"/>
        </w:rPr>
        <w:t xml:space="preserve">available </w:t>
      </w:r>
      <w:r w:rsidRPr="007504ED">
        <w:rPr>
          <w:sz w:val="24"/>
          <w:szCs w:val="24"/>
        </w:rPr>
        <w:t>on the</w:t>
      </w:r>
      <w:r w:rsidR="00121927">
        <w:rPr>
          <w:sz w:val="24"/>
          <w:szCs w:val="24"/>
        </w:rPr>
        <w:t xml:space="preserve"> insurance rule permissions and notifications page</w:t>
      </w:r>
      <w:r w:rsidR="003C1507">
        <w:rPr>
          <w:sz w:val="24"/>
          <w:szCs w:val="24"/>
        </w:rPr>
        <w:t>,</w:t>
      </w:r>
      <w:r w:rsidRPr="007504ED">
        <w:rPr>
          <w:sz w:val="24"/>
          <w:szCs w:val="24"/>
        </w:rPr>
        <w:t xml:space="preserve"> together with the </w:t>
      </w:r>
      <w:r w:rsidR="003C1507">
        <w:rPr>
          <w:sz w:val="24"/>
          <w:szCs w:val="24"/>
        </w:rPr>
        <w:t xml:space="preserve">firm’s </w:t>
      </w:r>
      <w:r w:rsidR="00F07477">
        <w:rPr>
          <w:sz w:val="24"/>
          <w:szCs w:val="24"/>
        </w:rPr>
        <w:t>assessment</w:t>
      </w:r>
      <w:r w:rsidRPr="007504ED">
        <w:rPr>
          <w:sz w:val="24"/>
          <w:szCs w:val="24"/>
        </w:rPr>
        <w:t xml:space="preserve"> </w:t>
      </w:r>
      <w:r w:rsidR="003C1507">
        <w:rPr>
          <w:sz w:val="24"/>
          <w:szCs w:val="24"/>
        </w:rPr>
        <w:t xml:space="preserve">and supporting documentary evidence </w:t>
      </w:r>
      <w:r w:rsidRPr="007504ED">
        <w:rPr>
          <w:sz w:val="24"/>
          <w:szCs w:val="24"/>
        </w:rPr>
        <w:t xml:space="preserve">as indicated in </w:t>
      </w:r>
      <w:r w:rsidR="003C1507">
        <w:rPr>
          <w:sz w:val="24"/>
          <w:szCs w:val="24"/>
        </w:rPr>
        <w:t xml:space="preserve">the relevant part of </w:t>
      </w:r>
      <w:r w:rsidRPr="007504ED">
        <w:rPr>
          <w:sz w:val="24"/>
          <w:szCs w:val="24"/>
        </w:rPr>
        <w:t xml:space="preserve">chapter 7 of Statement of Policy (SoP) - Solvency II: The PRA’s approach to insurance own funds </w:t>
      </w:r>
      <w:r w:rsidRPr="007504ED">
        <w:rPr>
          <w:sz w:val="24"/>
          <w:szCs w:val="24"/>
        </w:rPr>
        <w:lastRenderedPageBreak/>
        <w:t>permissions</w:t>
      </w:r>
      <w:r w:rsidR="003C1507">
        <w:rPr>
          <w:sz w:val="24"/>
          <w:szCs w:val="24"/>
        </w:rPr>
        <w:t>.</w:t>
      </w:r>
      <w:r w:rsidR="00F5768A">
        <w:rPr>
          <w:rStyle w:val="FootnoteReference"/>
          <w:sz w:val="24"/>
          <w:szCs w:val="24"/>
        </w:rPr>
        <w:footnoteReference w:id="2"/>
      </w:r>
      <w:r w:rsidRPr="007504ED">
        <w:rPr>
          <w:sz w:val="24"/>
          <w:szCs w:val="24"/>
        </w:rPr>
        <w:t xml:space="preserve">  </w:t>
      </w:r>
      <w:r w:rsidR="003C1507">
        <w:rPr>
          <w:sz w:val="24"/>
          <w:szCs w:val="24"/>
        </w:rPr>
        <w:t xml:space="preserve">Applications should be </w:t>
      </w:r>
      <w:r w:rsidR="003C1507" w:rsidRPr="00D651AA">
        <w:rPr>
          <w:sz w:val="24"/>
          <w:szCs w:val="24"/>
        </w:rPr>
        <w:t>made t</w:t>
      </w:r>
      <w:r w:rsidR="00AF5855" w:rsidRPr="00D651AA">
        <w:rPr>
          <w:sz w:val="24"/>
          <w:szCs w:val="24"/>
        </w:rPr>
        <w:t>o</w:t>
      </w:r>
      <w:r w:rsidR="00880557">
        <w:rPr>
          <w:sz w:val="24"/>
          <w:szCs w:val="24"/>
        </w:rPr>
        <w:t xml:space="preserve"> </w:t>
      </w:r>
      <w:hyperlink r:id="rId9" w:history="1">
        <w:r w:rsidR="00DC522A" w:rsidRPr="00DC522A">
          <w:rPr>
            <w:rFonts w:eastAsia="Times New Roman" w:cs="Times New Roman"/>
            <w:b/>
            <w:color w:val="12273F"/>
            <w:kern w:val="0"/>
            <w:sz w:val="24"/>
            <w:szCs w:val="24"/>
            <w:u w:val="single" w:color="3CD7D8"/>
            <w14:ligatures w14:val="none"/>
          </w:rPr>
          <w:t>PRA-Waivers@bankofengland.co.uk</w:t>
        </w:r>
      </w:hyperlink>
      <w:r w:rsidR="00AF5855" w:rsidRPr="00DC522A">
        <w:rPr>
          <w:rFonts w:eastAsia="Times New Roman" w:cs="Times New Roman"/>
          <w:b/>
          <w:color w:val="12273F"/>
          <w:kern w:val="0"/>
          <w:sz w:val="24"/>
          <w:szCs w:val="24"/>
          <w:u w:val="single" w:color="3CD7D8"/>
          <w14:ligatures w14:val="none"/>
        </w:rPr>
        <w:t xml:space="preserve"> </w:t>
      </w:r>
      <w:r w:rsidR="003C1507" w:rsidRPr="003C1507">
        <w:rPr>
          <w:sz w:val="24"/>
          <w:szCs w:val="24"/>
        </w:rPr>
        <w:t>and to the firm’s usual supervisory contact.</w:t>
      </w:r>
      <w:r w:rsidR="003C1507">
        <w:rPr>
          <w:sz w:val="24"/>
          <w:szCs w:val="24"/>
        </w:rPr>
        <w:t xml:space="preserve"> </w:t>
      </w:r>
    </w:p>
    <w:p w14:paraId="4190F44A" w14:textId="6BC8D32A" w:rsidR="009148DB" w:rsidRPr="00F34606" w:rsidRDefault="00A212A3" w:rsidP="00F56A55">
      <w:pPr>
        <w:spacing w:line="276" w:lineRule="auto"/>
        <w:ind w:left="0" w:firstLine="0"/>
        <w:rPr>
          <w:sz w:val="22"/>
        </w:rPr>
      </w:pPr>
      <w:r w:rsidRPr="007504ED">
        <w:rPr>
          <w:sz w:val="24"/>
          <w:szCs w:val="24"/>
        </w:rPr>
        <w:t>Firms should</w:t>
      </w:r>
      <w:r w:rsidR="00E55E3F">
        <w:rPr>
          <w:sz w:val="24"/>
          <w:szCs w:val="24"/>
        </w:rPr>
        <w:t xml:space="preserve"> </w:t>
      </w:r>
      <w:r w:rsidRPr="007504ED">
        <w:rPr>
          <w:sz w:val="24"/>
          <w:szCs w:val="24"/>
        </w:rPr>
        <w:t xml:space="preserve">refer to chapter 1 and relevant section </w:t>
      </w:r>
      <w:r w:rsidR="00F35480">
        <w:rPr>
          <w:sz w:val="24"/>
          <w:szCs w:val="24"/>
        </w:rPr>
        <w:t xml:space="preserve">in </w:t>
      </w:r>
      <w:r w:rsidRPr="007504ED">
        <w:rPr>
          <w:sz w:val="24"/>
          <w:szCs w:val="24"/>
        </w:rPr>
        <w:t xml:space="preserve">chapter 7 of </w:t>
      </w:r>
      <w:r w:rsidRPr="00F34606">
        <w:rPr>
          <w:sz w:val="24"/>
          <w:szCs w:val="24"/>
        </w:rPr>
        <w:t>this SoP in full prior to appl</w:t>
      </w:r>
      <w:r w:rsidR="003C1507">
        <w:rPr>
          <w:sz w:val="24"/>
          <w:szCs w:val="24"/>
        </w:rPr>
        <w:t>ication</w:t>
      </w:r>
      <w:r w:rsidRPr="00F34606">
        <w:rPr>
          <w:sz w:val="24"/>
          <w:szCs w:val="24"/>
        </w:rPr>
        <w:t>.</w:t>
      </w:r>
    </w:p>
    <w:p w14:paraId="5C93FFE2" w14:textId="77777777" w:rsidR="00556995" w:rsidRDefault="00556995" w:rsidP="00F56A55">
      <w:pPr>
        <w:spacing w:line="276" w:lineRule="auto"/>
        <w:ind w:left="24"/>
        <w:rPr>
          <w:sz w:val="24"/>
          <w:szCs w:val="24"/>
        </w:rPr>
      </w:pPr>
    </w:p>
    <w:p w14:paraId="49E22AAA" w14:textId="57471240" w:rsidR="00A42898" w:rsidRPr="007504ED" w:rsidRDefault="00A42898" w:rsidP="00F56A55">
      <w:pPr>
        <w:spacing w:line="276" w:lineRule="auto"/>
        <w:ind w:left="24"/>
        <w:rPr>
          <w:sz w:val="24"/>
          <w:szCs w:val="24"/>
        </w:rPr>
      </w:pPr>
      <w:r w:rsidRPr="007504ED">
        <w:rPr>
          <w:sz w:val="24"/>
          <w:szCs w:val="24"/>
        </w:rPr>
        <w:t xml:space="preserve">November 2024 </w:t>
      </w:r>
    </w:p>
    <w:p w14:paraId="69BD5B16" w14:textId="77777777" w:rsidR="00A42898" w:rsidRDefault="00A42898" w:rsidP="00A42898">
      <w:pPr>
        <w:ind w:left="24"/>
        <w:rPr>
          <w:sz w:val="24"/>
          <w:szCs w:val="24"/>
        </w:rPr>
      </w:pPr>
    </w:p>
    <w:p w14:paraId="2A144BD4" w14:textId="77777777" w:rsidR="00A42898" w:rsidRDefault="00A42898" w:rsidP="00A42898">
      <w:pPr>
        <w:ind w:left="24"/>
        <w:rPr>
          <w:sz w:val="24"/>
          <w:szCs w:val="24"/>
        </w:rPr>
      </w:pPr>
    </w:p>
    <w:p w14:paraId="5A9EC9EE" w14:textId="77777777" w:rsidR="00A42898" w:rsidRPr="00655F37" w:rsidRDefault="00A42898" w:rsidP="00A42898">
      <w:pPr>
        <w:ind w:left="24"/>
        <w:rPr>
          <w:sz w:val="24"/>
          <w:szCs w:val="24"/>
        </w:rPr>
      </w:pPr>
    </w:p>
    <w:p w14:paraId="057B1906" w14:textId="47E84D55" w:rsidR="004546B8" w:rsidRPr="00F34606" w:rsidRDefault="004546B8" w:rsidP="00F34606">
      <w:pPr>
        <w:ind w:left="29" w:firstLine="0"/>
        <w:rPr>
          <w:sz w:val="24"/>
          <w:szCs w:val="24"/>
        </w:rPr>
      </w:pPr>
    </w:p>
    <w:sectPr w:rsidR="004546B8" w:rsidRPr="00F34606">
      <w:pgSz w:w="11906" w:h="16838"/>
      <w:pgMar w:top="1440" w:right="1511"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F53E" w14:textId="77777777" w:rsidR="00EE1788" w:rsidRDefault="00EE1788" w:rsidP="007255B6">
      <w:pPr>
        <w:spacing w:after="0" w:line="240" w:lineRule="auto"/>
      </w:pPr>
      <w:r>
        <w:separator/>
      </w:r>
    </w:p>
  </w:endnote>
  <w:endnote w:type="continuationSeparator" w:id="0">
    <w:p w14:paraId="656754C4" w14:textId="77777777" w:rsidR="00EE1788" w:rsidRDefault="00EE1788" w:rsidP="0072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04B2" w14:textId="77777777" w:rsidR="00EE1788" w:rsidRDefault="00EE1788" w:rsidP="007255B6">
      <w:pPr>
        <w:spacing w:after="0" w:line="240" w:lineRule="auto"/>
      </w:pPr>
      <w:r>
        <w:separator/>
      </w:r>
    </w:p>
  </w:footnote>
  <w:footnote w:type="continuationSeparator" w:id="0">
    <w:p w14:paraId="7AB84763" w14:textId="77777777" w:rsidR="00EE1788" w:rsidRDefault="00EE1788" w:rsidP="007255B6">
      <w:pPr>
        <w:spacing w:after="0" w:line="240" w:lineRule="auto"/>
      </w:pPr>
      <w:r>
        <w:continuationSeparator/>
      </w:r>
    </w:p>
  </w:footnote>
  <w:footnote w:id="1">
    <w:p w14:paraId="045670A1" w14:textId="48C40BA6" w:rsidR="00837853" w:rsidRDefault="00837853">
      <w:pPr>
        <w:pStyle w:val="FootnoteText"/>
      </w:pPr>
      <w:r>
        <w:rPr>
          <w:rStyle w:val="FootnoteReference"/>
        </w:rPr>
        <w:footnoteRef/>
      </w:r>
      <w:r>
        <w:t xml:space="preserve"> All references to repayment or redemption include the repayment, redemption, repurchase or buyback of a basic own funds item or any other arrangement that has the same economic effect. This includes share buybacks, tender operations, repurchase plans and repayment of the principal at maturity for dated items as well as repayment or redemption following the exercise of an issuer call option.  </w:t>
      </w:r>
    </w:p>
  </w:footnote>
  <w:footnote w:id="2">
    <w:p w14:paraId="34148E12" w14:textId="4E19F97F" w:rsidR="00C75282" w:rsidRPr="00F34606" w:rsidRDefault="00F5768A" w:rsidP="00F34606">
      <w:pPr>
        <w:pStyle w:val="WebTextNarrativeHighlight"/>
        <w:ind w:left="0"/>
        <w:rPr>
          <w:b w:val="0"/>
          <w:bCs w:val="0"/>
          <w:sz w:val="20"/>
          <w:szCs w:val="20"/>
        </w:rPr>
      </w:pPr>
      <w:r w:rsidRPr="00F34606">
        <w:rPr>
          <w:rStyle w:val="FootnoteReference"/>
          <w:sz w:val="20"/>
          <w:szCs w:val="20"/>
        </w:rPr>
        <w:footnoteRef/>
      </w:r>
      <w:r w:rsidR="00C75282" w:rsidRPr="00F34606">
        <w:rPr>
          <w:sz w:val="20"/>
          <w:szCs w:val="20"/>
        </w:rPr>
        <w:t xml:space="preserve"> </w:t>
      </w:r>
      <w:hyperlink r:id="rId1" w:history="1">
        <w:r w:rsidR="00284AF5">
          <w:rPr>
            <w:rStyle w:val="Hyperlink"/>
            <w:sz w:val="20"/>
            <w:szCs w:val="20"/>
          </w:rPr>
          <w:t>Solvency II: The PRA’s approach to insurance own funds permissions | Bank of England</w:t>
        </w:r>
      </w:hyperlink>
    </w:p>
    <w:p w14:paraId="0D194988" w14:textId="139B1498" w:rsidR="00F5768A" w:rsidRDefault="00F5768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DCED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3A7EEF"/>
    <w:multiLevelType w:val="hybridMultilevel"/>
    <w:tmpl w:val="BDB67FF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 w15:restartNumberingAfterBreak="0">
    <w:nsid w:val="29F43630"/>
    <w:multiLevelType w:val="hybridMultilevel"/>
    <w:tmpl w:val="4C5A9EAE"/>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 w15:restartNumberingAfterBreak="0">
    <w:nsid w:val="4DEE6B7C"/>
    <w:multiLevelType w:val="hybridMultilevel"/>
    <w:tmpl w:val="98544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1600FA"/>
    <w:multiLevelType w:val="hybridMultilevel"/>
    <w:tmpl w:val="357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425061">
    <w:abstractNumId w:val="1"/>
  </w:num>
  <w:num w:numId="2" w16cid:durableId="1105030442">
    <w:abstractNumId w:val="2"/>
  </w:num>
  <w:num w:numId="3" w16cid:durableId="683241292">
    <w:abstractNumId w:val="4"/>
  </w:num>
  <w:num w:numId="4" w16cid:durableId="1155103874">
    <w:abstractNumId w:val="3"/>
  </w:num>
  <w:num w:numId="5" w16cid:durableId="213964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B8"/>
    <w:rsid w:val="0000732F"/>
    <w:rsid w:val="00017E95"/>
    <w:rsid w:val="00075537"/>
    <w:rsid w:val="00097FDE"/>
    <w:rsid w:val="000A1B6D"/>
    <w:rsid w:val="000A2250"/>
    <w:rsid w:val="000A67CC"/>
    <w:rsid w:val="000A7386"/>
    <w:rsid w:val="000B6828"/>
    <w:rsid w:val="000C08CF"/>
    <w:rsid w:val="000C0FDD"/>
    <w:rsid w:val="000C1C44"/>
    <w:rsid w:val="000C502A"/>
    <w:rsid w:val="000E70F4"/>
    <w:rsid w:val="00106A35"/>
    <w:rsid w:val="00121927"/>
    <w:rsid w:val="001577FC"/>
    <w:rsid w:val="00173182"/>
    <w:rsid w:val="00195994"/>
    <w:rsid w:val="00202592"/>
    <w:rsid w:val="00212F4B"/>
    <w:rsid w:val="00220566"/>
    <w:rsid w:val="00222E63"/>
    <w:rsid w:val="002261BA"/>
    <w:rsid w:val="002535D7"/>
    <w:rsid w:val="002743D9"/>
    <w:rsid w:val="00284AF5"/>
    <w:rsid w:val="00287E38"/>
    <w:rsid w:val="002C03B6"/>
    <w:rsid w:val="00312052"/>
    <w:rsid w:val="00316B1E"/>
    <w:rsid w:val="00330151"/>
    <w:rsid w:val="00332892"/>
    <w:rsid w:val="00351AC6"/>
    <w:rsid w:val="003C1507"/>
    <w:rsid w:val="00415BEA"/>
    <w:rsid w:val="00425117"/>
    <w:rsid w:val="004272B2"/>
    <w:rsid w:val="00442722"/>
    <w:rsid w:val="004546B8"/>
    <w:rsid w:val="00456B62"/>
    <w:rsid w:val="00460A43"/>
    <w:rsid w:val="00471054"/>
    <w:rsid w:val="004F652E"/>
    <w:rsid w:val="005148B8"/>
    <w:rsid w:val="005502DA"/>
    <w:rsid w:val="00556995"/>
    <w:rsid w:val="00565EE7"/>
    <w:rsid w:val="005779EF"/>
    <w:rsid w:val="00590416"/>
    <w:rsid w:val="00597616"/>
    <w:rsid w:val="005A1E5E"/>
    <w:rsid w:val="005B55C0"/>
    <w:rsid w:val="005C37FB"/>
    <w:rsid w:val="005C55D9"/>
    <w:rsid w:val="005D4523"/>
    <w:rsid w:val="005F0F19"/>
    <w:rsid w:val="00644B56"/>
    <w:rsid w:val="00666BA2"/>
    <w:rsid w:val="00691A01"/>
    <w:rsid w:val="006A146C"/>
    <w:rsid w:val="006D601E"/>
    <w:rsid w:val="006E615E"/>
    <w:rsid w:val="007255B6"/>
    <w:rsid w:val="007504ED"/>
    <w:rsid w:val="007513B8"/>
    <w:rsid w:val="00755F7B"/>
    <w:rsid w:val="00783DDC"/>
    <w:rsid w:val="007A4159"/>
    <w:rsid w:val="007B36A8"/>
    <w:rsid w:val="007B608C"/>
    <w:rsid w:val="007D3BFF"/>
    <w:rsid w:val="0080556F"/>
    <w:rsid w:val="008237C6"/>
    <w:rsid w:val="00837853"/>
    <w:rsid w:val="00853392"/>
    <w:rsid w:val="00867024"/>
    <w:rsid w:val="008740E6"/>
    <w:rsid w:val="00880557"/>
    <w:rsid w:val="00892F44"/>
    <w:rsid w:val="008E603A"/>
    <w:rsid w:val="008E7D10"/>
    <w:rsid w:val="008F2BAE"/>
    <w:rsid w:val="008F76BF"/>
    <w:rsid w:val="00906348"/>
    <w:rsid w:val="009148DB"/>
    <w:rsid w:val="00915E19"/>
    <w:rsid w:val="009438CB"/>
    <w:rsid w:val="00946174"/>
    <w:rsid w:val="00967F25"/>
    <w:rsid w:val="00980470"/>
    <w:rsid w:val="009B5FC8"/>
    <w:rsid w:val="00A11A8E"/>
    <w:rsid w:val="00A212A3"/>
    <w:rsid w:val="00A2340B"/>
    <w:rsid w:val="00A26A57"/>
    <w:rsid w:val="00A42898"/>
    <w:rsid w:val="00A44959"/>
    <w:rsid w:val="00A729A9"/>
    <w:rsid w:val="00A91EDC"/>
    <w:rsid w:val="00AA6A20"/>
    <w:rsid w:val="00AB0B18"/>
    <w:rsid w:val="00AB264F"/>
    <w:rsid w:val="00AC659A"/>
    <w:rsid w:val="00AD026F"/>
    <w:rsid w:val="00AD38B6"/>
    <w:rsid w:val="00AF5855"/>
    <w:rsid w:val="00B65A2A"/>
    <w:rsid w:val="00B826E9"/>
    <w:rsid w:val="00BB1E0A"/>
    <w:rsid w:val="00BD5E47"/>
    <w:rsid w:val="00C06D8D"/>
    <w:rsid w:val="00C42756"/>
    <w:rsid w:val="00C5680F"/>
    <w:rsid w:val="00C607EB"/>
    <w:rsid w:val="00C70A9D"/>
    <w:rsid w:val="00C71017"/>
    <w:rsid w:val="00C75282"/>
    <w:rsid w:val="00C76326"/>
    <w:rsid w:val="00C95E8D"/>
    <w:rsid w:val="00CB0683"/>
    <w:rsid w:val="00CB2F98"/>
    <w:rsid w:val="00CC1E52"/>
    <w:rsid w:val="00CE1721"/>
    <w:rsid w:val="00D00F86"/>
    <w:rsid w:val="00D1145C"/>
    <w:rsid w:val="00D17DF1"/>
    <w:rsid w:val="00D55A6F"/>
    <w:rsid w:val="00D651AA"/>
    <w:rsid w:val="00D72AC3"/>
    <w:rsid w:val="00D94E67"/>
    <w:rsid w:val="00DB42A3"/>
    <w:rsid w:val="00DC522A"/>
    <w:rsid w:val="00DD6197"/>
    <w:rsid w:val="00DD6E67"/>
    <w:rsid w:val="00DF6CB2"/>
    <w:rsid w:val="00E55E3F"/>
    <w:rsid w:val="00E6625E"/>
    <w:rsid w:val="00EE1788"/>
    <w:rsid w:val="00EE487D"/>
    <w:rsid w:val="00F02A72"/>
    <w:rsid w:val="00F07477"/>
    <w:rsid w:val="00F34606"/>
    <w:rsid w:val="00F35480"/>
    <w:rsid w:val="00F56A55"/>
    <w:rsid w:val="00F5768A"/>
    <w:rsid w:val="00F81AFD"/>
    <w:rsid w:val="00F85910"/>
    <w:rsid w:val="00F8598E"/>
    <w:rsid w:val="00FB18D9"/>
    <w:rsid w:val="00FB425E"/>
    <w:rsid w:val="00FC0AF3"/>
    <w:rsid w:val="00FC5B6F"/>
    <w:rsid w:val="00FF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840D"/>
  <w15:docId w15:val="{17321178-DB0F-4713-9F68-A69E9FE1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68" w:lineRule="auto"/>
      <w:ind w:left="39" w:hanging="10"/>
    </w:pPr>
    <w:rPr>
      <w:rFonts w:ascii="Arial" w:eastAsia="Arial" w:hAnsi="Arial" w:cs="Arial"/>
      <w:color w:val="000000"/>
      <w:sz w:val="28"/>
    </w:rPr>
  </w:style>
  <w:style w:type="paragraph" w:styleId="Heading1">
    <w:name w:val="heading 1"/>
    <w:aliases w:val="BoE Heading 1"/>
    <w:basedOn w:val="Normal"/>
    <w:next w:val="Normal"/>
    <w:link w:val="Heading1Char"/>
    <w:uiPriority w:val="1"/>
    <w:qFormat/>
    <w:rsid w:val="007504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5C0"/>
    <w:pPr>
      <w:ind w:left="720"/>
      <w:contextualSpacing/>
    </w:pPr>
  </w:style>
  <w:style w:type="character" w:styleId="CommentReference">
    <w:name w:val="annotation reference"/>
    <w:basedOn w:val="DefaultParagraphFont"/>
    <w:uiPriority w:val="99"/>
    <w:semiHidden/>
    <w:unhideWhenUsed/>
    <w:rsid w:val="00F85910"/>
    <w:rPr>
      <w:sz w:val="16"/>
      <w:szCs w:val="16"/>
    </w:rPr>
  </w:style>
  <w:style w:type="paragraph" w:styleId="CommentText">
    <w:name w:val="annotation text"/>
    <w:basedOn w:val="Normal"/>
    <w:link w:val="CommentTextChar"/>
    <w:uiPriority w:val="99"/>
    <w:unhideWhenUsed/>
    <w:rsid w:val="00F85910"/>
    <w:pPr>
      <w:spacing w:line="240" w:lineRule="auto"/>
    </w:pPr>
    <w:rPr>
      <w:sz w:val="20"/>
      <w:szCs w:val="20"/>
    </w:rPr>
  </w:style>
  <w:style w:type="character" w:customStyle="1" w:styleId="CommentTextChar">
    <w:name w:val="Comment Text Char"/>
    <w:basedOn w:val="DefaultParagraphFont"/>
    <w:link w:val="CommentText"/>
    <w:uiPriority w:val="99"/>
    <w:rsid w:val="00F8591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85910"/>
    <w:rPr>
      <w:b/>
      <w:bCs/>
    </w:rPr>
  </w:style>
  <w:style w:type="character" w:customStyle="1" w:styleId="CommentSubjectChar">
    <w:name w:val="Comment Subject Char"/>
    <w:basedOn w:val="CommentTextChar"/>
    <w:link w:val="CommentSubject"/>
    <w:uiPriority w:val="99"/>
    <w:semiHidden/>
    <w:rsid w:val="00F85910"/>
    <w:rPr>
      <w:rFonts w:ascii="Arial" w:eastAsia="Arial" w:hAnsi="Arial" w:cs="Arial"/>
      <w:b/>
      <w:bCs/>
      <w:color w:val="000000"/>
      <w:sz w:val="20"/>
      <w:szCs w:val="20"/>
    </w:rPr>
  </w:style>
  <w:style w:type="paragraph" w:styleId="FootnoteText">
    <w:name w:val="footnote text"/>
    <w:basedOn w:val="Normal"/>
    <w:link w:val="FootnoteTextChar"/>
    <w:uiPriority w:val="99"/>
    <w:semiHidden/>
    <w:unhideWhenUsed/>
    <w:rsid w:val="007255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5B6"/>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7255B6"/>
    <w:rPr>
      <w:vertAlign w:val="superscript"/>
    </w:rPr>
  </w:style>
  <w:style w:type="paragraph" w:styleId="Revision">
    <w:name w:val="Revision"/>
    <w:hidden/>
    <w:uiPriority w:val="99"/>
    <w:semiHidden/>
    <w:rsid w:val="00106A35"/>
    <w:pPr>
      <w:spacing w:after="0" w:line="240" w:lineRule="auto"/>
    </w:pPr>
    <w:rPr>
      <w:rFonts w:ascii="Arial" w:eastAsia="Arial" w:hAnsi="Arial" w:cs="Arial"/>
      <w:color w:val="000000"/>
      <w:sz w:val="28"/>
    </w:rPr>
  </w:style>
  <w:style w:type="table" w:styleId="TableGrid">
    <w:name w:val="Table Grid"/>
    <w:basedOn w:val="TableNormal"/>
    <w:uiPriority w:val="39"/>
    <w:rsid w:val="0091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DB"/>
    <w:rPr>
      <w:rFonts w:ascii="Arial" w:eastAsia="Arial" w:hAnsi="Arial" w:cs="Arial"/>
      <w:color w:val="000000"/>
      <w:sz w:val="28"/>
    </w:rPr>
  </w:style>
  <w:style w:type="paragraph" w:styleId="Footer">
    <w:name w:val="footer"/>
    <w:basedOn w:val="Normal"/>
    <w:link w:val="FooterChar"/>
    <w:uiPriority w:val="99"/>
    <w:unhideWhenUsed/>
    <w:rsid w:val="009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DB"/>
    <w:rPr>
      <w:rFonts w:ascii="Arial" w:eastAsia="Arial" w:hAnsi="Arial" w:cs="Arial"/>
      <w:color w:val="000000"/>
      <w:sz w:val="28"/>
    </w:rPr>
  </w:style>
  <w:style w:type="character" w:customStyle="1" w:styleId="Heading1Char">
    <w:name w:val="Heading 1 Char"/>
    <w:aliases w:val="BoE Heading 1 Char"/>
    <w:basedOn w:val="DefaultParagraphFont"/>
    <w:link w:val="Heading1"/>
    <w:uiPriority w:val="1"/>
    <w:rsid w:val="007504ED"/>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B826E9"/>
    <w:rPr>
      <w:color w:val="808080"/>
    </w:rPr>
  </w:style>
  <w:style w:type="character" w:styleId="Hyperlink">
    <w:name w:val="Hyperlink"/>
    <w:basedOn w:val="DefaultParagraphFont"/>
    <w:uiPriority w:val="99"/>
    <w:unhideWhenUsed/>
    <w:rsid w:val="00C75282"/>
    <w:rPr>
      <w:color w:val="0000FF"/>
      <w:u w:val="single"/>
    </w:rPr>
  </w:style>
  <w:style w:type="paragraph" w:customStyle="1" w:styleId="WebTextNarrativeHighlight">
    <w:name w:val="Web Text Narrative Highlight"/>
    <w:basedOn w:val="Normal"/>
    <w:uiPriority w:val="7"/>
    <w:rsid w:val="00C75282"/>
    <w:pPr>
      <w:spacing w:after="0" w:line="300" w:lineRule="auto"/>
      <w:ind w:left="113" w:firstLine="0"/>
    </w:pPr>
    <w:rPr>
      <w:rFonts w:eastAsiaTheme="minorHAnsi"/>
      <w:b/>
      <w:bCs/>
      <w:color w:val="auto"/>
      <w:kern w:val="0"/>
      <w:sz w:val="24"/>
      <w:szCs w:val="24"/>
      <w:lang w:eastAsia="en-US"/>
      <w14:ligatures w14:val="none"/>
    </w:rPr>
  </w:style>
  <w:style w:type="paragraph" w:styleId="ListBullet">
    <w:name w:val="List Bullet"/>
    <w:basedOn w:val="Normal"/>
    <w:uiPriority w:val="99"/>
    <w:unhideWhenUsed/>
    <w:rsid w:val="00F07477"/>
    <w:pPr>
      <w:numPr>
        <w:numId w:val="5"/>
      </w:numPr>
      <w:contextualSpacing/>
    </w:pPr>
  </w:style>
  <w:style w:type="character" w:styleId="UnresolvedMention">
    <w:name w:val="Unresolved Mention"/>
    <w:basedOn w:val="DefaultParagraphFont"/>
    <w:uiPriority w:val="99"/>
    <w:semiHidden/>
    <w:unhideWhenUsed/>
    <w:rsid w:val="00AF5855"/>
    <w:rPr>
      <w:color w:val="605E5C"/>
      <w:shd w:val="clear" w:color="auto" w:fill="E1DFDD"/>
    </w:rPr>
  </w:style>
  <w:style w:type="character" w:styleId="FollowedHyperlink">
    <w:name w:val="FollowedHyperlink"/>
    <w:basedOn w:val="DefaultParagraphFont"/>
    <w:uiPriority w:val="99"/>
    <w:semiHidden/>
    <w:unhideWhenUsed/>
    <w:rsid w:val="00284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12145">
      <w:bodyDiv w:val="1"/>
      <w:marLeft w:val="0"/>
      <w:marRight w:val="0"/>
      <w:marTop w:val="0"/>
      <w:marBottom w:val="0"/>
      <w:divBdr>
        <w:top w:val="none" w:sz="0" w:space="0" w:color="auto"/>
        <w:left w:val="none" w:sz="0" w:space="0" w:color="auto"/>
        <w:bottom w:val="none" w:sz="0" w:space="0" w:color="auto"/>
        <w:right w:val="none" w:sz="0" w:space="0" w:color="auto"/>
      </w:divBdr>
    </w:div>
    <w:div w:id="1486974857">
      <w:bodyDiv w:val="1"/>
      <w:marLeft w:val="0"/>
      <w:marRight w:val="0"/>
      <w:marTop w:val="0"/>
      <w:marBottom w:val="0"/>
      <w:divBdr>
        <w:top w:val="none" w:sz="0" w:space="0" w:color="auto"/>
        <w:left w:val="none" w:sz="0" w:space="0" w:color="auto"/>
        <w:bottom w:val="none" w:sz="0" w:space="0" w:color="auto"/>
        <w:right w:val="none" w:sz="0" w:space="0" w:color="auto"/>
      </w:divBdr>
    </w:div>
    <w:div w:id="186667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media/boe/files/prudential-regulation/authorisations/solvency-ii-approvals/s138ba-rule-permission-application-form.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Waivers@bankofengland.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prudential-regulation/publication/2024/november/solvency-ii-approach-to-insurance-own-funds-permission-s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213C-E2D0-4A5B-AEA6-6FFAA151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Own-fund items not on the list</vt:lpstr>
    </vt:vector>
  </TitlesOfParts>
  <Company>Bank of England</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Own-fund items not on the list</dc:title>
  <dc:subject>Own-fund items not on the list</dc:subject>
  <dc:creator>Bank of England</dc:creator>
  <cp:keywords/>
  <cp:lastModifiedBy>Tsang, Tristan</cp:lastModifiedBy>
  <cp:revision>2</cp:revision>
  <dcterms:created xsi:type="dcterms:W3CDTF">2024-11-20T14:38:00Z</dcterms:created>
  <dcterms:modified xsi:type="dcterms:W3CDTF">2024-11-20T14:38:00Z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341485000</vt:i4>
  </property>
  <property fmtid="{D5CDD505-2E9C-101B-9397-08002B2CF9AE}" pid="3" name="_NewReviewCycle">
    <vt:lpwstr/>
  </property>
  <property fmtid="{D5CDD505-2E9C-101B-9397-08002B2CF9AE}" pid="4" name="_EmailSubject">
    <vt:lpwstr>Webpage updates to waivers team 15 Nov publication package</vt:lpwstr>
  </property>
  <property fmtid="{D5CDD505-2E9C-101B-9397-08002B2CF9AE}" pid="5" name="_AuthorEmail">
    <vt:lpwstr>Tristan.Tsang@bankofengland.co.uk</vt:lpwstr>
  </property>
  <property fmtid="{D5CDD505-2E9C-101B-9397-08002B2CF9AE}" pid="6" name="_AuthorEmailDisplayName">
    <vt:lpwstr>Tsang, Tristan</vt:lpwstr>
  </property>
</Properties>
</file>